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6771"/>
        <w:gridCol w:w="283"/>
        <w:gridCol w:w="2943"/>
      </w:tblGrid>
      <w:tr w:rsidR="00DF1864" w:rsidRPr="00791688" w:rsidTr="00561CEC">
        <w:tc>
          <w:tcPr>
            <w:tcW w:w="6771" w:type="dxa"/>
            <w:tcBorders>
              <w:right w:val="single" w:sz="18" w:space="0" w:color="BFBFBF"/>
            </w:tcBorders>
            <w:shd w:val="clear" w:color="auto" w:fill="auto"/>
          </w:tcPr>
          <w:p w:rsidR="00B422F8" w:rsidRPr="001A194E" w:rsidRDefault="001A194E" w:rsidP="001A194E">
            <w:pPr>
              <w:tabs>
                <w:tab w:val="right" w:pos="9900"/>
              </w:tabs>
              <w:ind w:right="181"/>
              <w:jc w:val="right"/>
              <w:rPr>
                <w:rFonts w:ascii="Arial" w:hAnsi="Arial" w:cs="Arial"/>
                <w:sz w:val="20"/>
                <w:szCs w:val="20"/>
              </w:rPr>
            </w:pPr>
            <w:r w:rsidRPr="001A194E">
              <w:rPr>
                <w:rFonts w:ascii="Arial" w:hAnsi="Arial" w:cs="Arial"/>
                <w:sz w:val="20"/>
                <w:szCs w:val="20"/>
              </w:rPr>
              <w:t>South Cumbria Pupil Referral Service</w:t>
            </w:r>
          </w:p>
          <w:p w:rsidR="001A194E" w:rsidRPr="001A194E" w:rsidRDefault="001A194E" w:rsidP="001A194E">
            <w:pPr>
              <w:tabs>
                <w:tab w:val="right" w:pos="9900"/>
              </w:tabs>
              <w:ind w:right="181"/>
              <w:jc w:val="right"/>
              <w:rPr>
                <w:rFonts w:ascii="Arial" w:hAnsi="Arial" w:cs="Arial"/>
                <w:sz w:val="20"/>
                <w:szCs w:val="20"/>
              </w:rPr>
            </w:pPr>
            <w:r w:rsidRPr="001A194E">
              <w:rPr>
                <w:rFonts w:ascii="Arial" w:hAnsi="Arial" w:cs="Arial"/>
                <w:sz w:val="20"/>
                <w:szCs w:val="20"/>
              </w:rPr>
              <w:t>Newbridge House</w:t>
            </w:r>
          </w:p>
          <w:p w:rsidR="001A194E" w:rsidRPr="001A194E" w:rsidRDefault="001A194E" w:rsidP="001A194E">
            <w:pPr>
              <w:tabs>
                <w:tab w:val="right" w:pos="9900"/>
              </w:tabs>
              <w:ind w:right="181"/>
              <w:jc w:val="right"/>
              <w:rPr>
                <w:rFonts w:ascii="Arial" w:hAnsi="Arial" w:cs="Arial"/>
                <w:sz w:val="20"/>
                <w:szCs w:val="20"/>
              </w:rPr>
            </w:pPr>
            <w:r w:rsidRPr="001A194E">
              <w:rPr>
                <w:rFonts w:ascii="Arial" w:hAnsi="Arial" w:cs="Arial"/>
                <w:sz w:val="20"/>
                <w:szCs w:val="20"/>
              </w:rPr>
              <w:t>Ewan Close</w:t>
            </w:r>
          </w:p>
          <w:p w:rsidR="001A194E" w:rsidRPr="001A194E" w:rsidRDefault="001A194E" w:rsidP="001A194E">
            <w:pPr>
              <w:tabs>
                <w:tab w:val="right" w:pos="9900"/>
              </w:tabs>
              <w:ind w:right="181"/>
              <w:jc w:val="right"/>
              <w:rPr>
                <w:rFonts w:ascii="Arial" w:hAnsi="Arial" w:cs="Arial"/>
                <w:sz w:val="20"/>
                <w:szCs w:val="20"/>
              </w:rPr>
            </w:pPr>
            <w:r w:rsidRPr="001A194E">
              <w:rPr>
                <w:rFonts w:ascii="Arial" w:hAnsi="Arial" w:cs="Arial"/>
                <w:sz w:val="20"/>
                <w:szCs w:val="20"/>
              </w:rPr>
              <w:t>Barrow-in-Furness</w:t>
            </w:r>
          </w:p>
          <w:p w:rsidR="001A194E" w:rsidRPr="001A194E" w:rsidRDefault="001A194E" w:rsidP="001A194E">
            <w:pPr>
              <w:tabs>
                <w:tab w:val="right" w:pos="9900"/>
              </w:tabs>
              <w:ind w:right="181"/>
              <w:jc w:val="right"/>
              <w:rPr>
                <w:rFonts w:ascii="Arial" w:hAnsi="Arial" w:cs="Arial"/>
                <w:sz w:val="20"/>
                <w:szCs w:val="20"/>
              </w:rPr>
            </w:pPr>
            <w:r w:rsidRPr="001A194E">
              <w:rPr>
                <w:rFonts w:ascii="Arial" w:hAnsi="Arial" w:cs="Arial"/>
                <w:sz w:val="20"/>
                <w:szCs w:val="20"/>
              </w:rPr>
              <w:t>Cumbria</w:t>
            </w:r>
          </w:p>
          <w:p w:rsidR="001A194E" w:rsidRPr="001A194E" w:rsidRDefault="001A194E" w:rsidP="001A194E">
            <w:pPr>
              <w:tabs>
                <w:tab w:val="right" w:pos="9900"/>
              </w:tabs>
              <w:ind w:right="181"/>
              <w:jc w:val="right"/>
              <w:rPr>
                <w:rFonts w:ascii="Arial" w:hAnsi="Arial" w:cs="Arial"/>
                <w:sz w:val="20"/>
                <w:szCs w:val="20"/>
              </w:rPr>
            </w:pPr>
            <w:r w:rsidRPr="001A194E">
              <w:rPr>
                <w:rFonts w:ascii="Arial" w:hAnsi="Arial" w:cs="Arial"/>
                <w:sz w:val="20"/>
                <w:szCs w:val="20"/>
              </w:rPr>
              <w:t>LA13 9HU</w:t>
            </w:r>
          </w:p>
          <w:p w:rsidR="001A194E" w:rsidRPr="001A194E" w:rsidRDefault="001A194E" w:rsidP="001A194E">
            <w:pPr>
              <w:tabs>
                <w:tab w:val="right" w:pos="9900"/>
              </w:tabs>
              <w:ind w:right="181"/>
              <w:jc w:val="right"/>
              <w:rPr>
                <w:rFonts w:ascii="Arial" w:hAnsi="Arial" w:cs="Arial"/>
                <w:sz w:val="20"/>
                <w:szCs w:val="20"/>
              </w:rPr>
            </w:pPr>
            <w:r w:rsidRPr="001A194E">
              <w:rPr>
                <w:rFonts w:ascii="Arial" w:hAnsi="Arial" w:cs="Arial"/>
                <w:sz w:val="20"/>
                <w:szCs w:val="20"/>
              </w:rPr>
              <w:sym w:font="Wingdings" w:char="F029"/>
            </w:r>
            <w:r w:rsidRPr="001A194E">
              <w:rPr>
                <w:rFonts w:ascii="Arial" w:hAnsi="Arial" w:cs="Arial"/>
                <w:sz w:val="20"/>
                <w:szCs w:val="20"/>
              </w:rPr>
              <w:t xml:space="preserve">  01229 407470</w:t>
            </w:r>
          </w:p>
          <w:p w:rsidR="001A194E" w:rsidRPr="00E47A58" w:rsidRDefault="001A194E" w:rsidP="001A194E">
            <w:pPr>
              <w:tabs>
                <w:tab w:val="right" w:pos="9900"/>
              </w:tabs>
              <w:ind w:right="181"/>
              <w:jc w:val="right"/>
              <w:rPr>
                <w:rFonts w:ascii="Calibri" w:hAnsi="Calibri" w:cs="Calibri"/>
                <w:sz w:val="20"/>
                <w:szCs w:val="20"/>
              </w:rPr>
            </w:pPr>
            <w:r w:rsidRPr="001A194E">
              <w:rPr>
                <w:rFonts w:ascii="Arial" w:hAnsi="Arial" w:cs="Arial"/>
                <w:sz w:val="20"/>
                <w:szCs w:val="20"/>
              </w:rPr>
              <w:t>www.southcumbriaap.org.uk</w:t>
            </w:r>
          </w:p>
        </w:tc>
        <w:tc>
          <w:tcPr>
            <w:tcW w:w="283" w:type="dxa"/>
            <w:tcBorders>
              <w:left w:val="single" w:sz="18" w:space="0" w:color="BFBFBF"/>
            </w:tcBorders>
            <w:shd w:val="clear" w:color="auto" w:fill="auto"/>
          </w:tcPr>
          <w:p w:rsidR="00791688" w:rsidRPr="00791688" w:rsidRDefault="00791688" w:rsidP="00791688">
            <w:pPr>
              <w:tabs>
                <w:tab w:val="right" w:pos="9900"/>
              </w:tabs>
              <w:spacing w:line="280" w:lineRule="atLeast"/>
              <w:ind w:right="2410"/>
              <w:rPr>
                <w:rFonts w:ascii="Arial" w:hAnsi="Arial" w:cs="Arial"/>
                <w:sz w:val="20"/>
              </w:rPr>
            </w:pPr>
          </w:p>
        </w:tc>
        <w:tc>
          <w:tcPr>
            <w:tcW w:w="2943" w:type="dxa"/>
            <w:shd w:val="clear" w:color="auto" w:fill="auto"/>
          </w:tcPr>
          <w:p w:rsidR="00791688" w:rsidRPr="00791688" w:rsidRDefault="002B169A" w:rsidP="00791688">
            <w:pPr>
              <w:tabs>
                <w:tab w:val="right" w:pos="9900"/>
              </w:tabs>
              <w:spacing w:line="280" w:lineRule="atLeast"/>
              <w:ind w:right="2410"/>
              <w:jc w:val="right"/>
              <w:rPr>
                <w:rFonts w:ascii="Arial" w:hAnsi="Arial" w:cs="Arial"/>
                <w:sz w:val="20"/>
              </w:rPr>
            </w:pPr>
            <w:r>
              <w:rPr>
                <w:noProof/>
              </w:rPr>
              <w:drawing>
                <wp:inline distT="0" distB="0" distL="0" distR="0">
                  <wp:extent cx="1647825" cy="1047750"/>
                  <wp:effectExtent l="0" t="0" r="0" b="0"/>
                  <wp:docPr id="1" name="Picture 1" descr="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1047750"/>
                          </a:xfrm>
                          <a:prstGeom prst="rect">
                            <a:avLst/>
                          </a:prstGeom>
                          <a:noFill/>
                          <a:ln>
                            <a:noFill/>
                          </a:ln>
                        </pic:spPr>
                      </pic:pic>
                    </a:graphicData>
                  </a:graphic>
                </wp:inline>
              </w:drawing>
            </w:r>
          </w:p>
        </w:tc>
      </w:tr>
      <w:tr w:rsidR="00DF1864" w:rsidRPr="00791688" w:rsidTr="003C19CD">
        <w:trPr>
          <w:trHeight w:val="60"/>
        </w:trPr>
        <w:tc>
          <w:tcPr>
            <w:tcW w:w="6771" w:type="dxa"/>
            <w:tcBorders>
              <w:bottom w:val="single" w:sz="18" w:space="0" w:color="BFBFBF"/>
            </w:tcBorders>
            <w:shd w:val="clear" w:color="auto" w:fill="auto"/>
          </w:tcPr>
          <w:p w:rsidR="00791688" w:rsidRPr="00791688" w:rsidRDefault="00791688" w:rsidP="00791688">
            <w:pPr>
              <w:tabs>
                <w:tab w:val="right" w:pos="9900"/>
              </w:tabs>
              <w:spacing w:line="280" w:lineRule="atLeast"/>
              <w:ind w:right="181"/>
              <w:jc w:val="right"/>
              <w:rPr>
                <w:rFonts w:ascii="Arial" w:hAnsi="Arial" w:cs="Arial"/>
                <w:sz w:val="20"/>
              </w:rPr>
            </w:pPr>
          </w:p>
        </w:tc>
        <w:tc>
          <w:tcPr>
            <w:tcW w:w="283" w:type="dxa"/>
            <w:tcBorders>
              <w:bottom w:val="single" w:sz="18" w:space="0" w:color="BFBFBF"/>
            </w:tcBorders>
            <w:shd w:val="clear" w:color="auto" w:fill="auto"/>
          </w:tcPr>
          <w:p w:rsidR="00791688" w:rsidRPr="00791688" w:rsidRDefault="00791688" w:rsidP="00791688">
            <w:pPr>
              <w:tabs>
                <w:tab w:val="right" w:pos="9900"/>
              </w:tabs>
              <w:spacing w:line="280" w:lineRule="atLeast"/>
              <w:ind w:right="2410"/>
              <w:rPr>
                <w:rFonts w:ascii="Arial" w:hAnsi="Arial" w:cs="Arial"/>
                <w:sz w:val="20"/>
              </w:rPr>
            </w:pPr>
          </w:p>
        </w:tc>
        <w:tc>
          <w:tcPr>
            <w:tcW w:w="2943" w:type="dxa"/>
            <w:tcBorders>
              <w:bottom w:val="single" w:sz="18" w:space="0" w:color="BFBFBF"/>
            </w:tcBorders>
            <w:shd w:val="clear" w:color="auto" w:fill="auto"/>
          </w:tcPr>
          <w:p w:rsidR="00791688" w:rsidRDefault="00791688" w:rsidP="00791688">
            <w:pPr>
              <w:tabs>
                <w:tab w:val="right" w:pos="9900"/>
              </w:tabs>
              <w:spacing w:line="280" w:lineRule="atLeast"/>
              <w:ind w:right="2410"/>
              <w:jc w:val="right"/>
            </w:pPr>
          </w:p>
        </w:tc>
      </w:tr>
    </w:tbl>
    <w:p w:rsidR="0093204B" w:rsidRPr="00061841" w:rsidRDefault="0093204B" w:rsidP="0093204B">
      <w:pPr>
        <w:pStyle w:val="Default"/>
        <w:rPr>
          <w:sz w:val="21"/>
          <w:szCs w:val="21"/>
        </w:rPr>
      </w:pPr>
      <w:r w:rsidRPr="00061841">
        <w:rPr>
          <w:sz w:val="21"/>
          <w:szCs w:val="21"/>
        </w:rPr>
        <w:t xml:space="preserve">20 March 2020 </w:t>
      </w:r>
    </w:p>
    <w:p w:rsidR="0093204B" w:rsidRPr="00061841" w:rsidRDefault="0093204B" w:rsidP="0093204B">
      <w:pPr>
        <w:pStyle w:val="Default"/>
        <w:rPr>
          <w:sz w:val="21"/>
          <w:szCs w:val="21"/>
        </w:rPr>
      </w:pPr>
    </w:p>
    <w:p w:rsidR="0093204B" w:rsidRPr="00061841" w:rsidRDefault="0093204B" w:rsidP="0093204B">
      <w:pPr>
        <w:pStyle w:val="Default"/>
        <w:rPr>
          <w:sz w:val="21"/>
          <w:szCs w:val="21"/>
        </w:rPr>
      </w:pPr>
      <w:r w:rsidRPr="00061841">
        <w:rPr>
          <w:sz w:val="21"/>
          <w:szCs w:val="21"/>
        </w:rPr>
        <w:t xml:space="preserve">Dear Parents/Carers </w:t>
      </w:r>
    </w:p>
    <w:p w:rsidR="0093204B" w:rsidRPr="00061841" w:rsidRDefault="0093204B" w:rsidP="0093204B">
      <w:pPr>
        <w:pStyle w:val="Default"/>
        <w:rPr>
          <w:sz w:val="21"/>
          <w:szCs w:val="21"/>
        </w:rPr>
      </w:pPr>
    </w:p>
    <w:p w:rsidR="0093204B" w:rsidRPr="00061841" w:rsidRDefault="0093204B" w:rsidP="0093204B">
      <w:pPr>
        <w:pStyle w:val="Default"/>
        <w:rPr>
          <w:b/>
          <w:bCs/>
          <w:sz w:val="21"/>
          <w:szCs w:val="21"/>
        </w:rPr>
      </w:pPr>
      <w:r w:rsidRPr="00061841">
        <w:rPr>
          <w:b/>
          <w:bCs/>
          <w:sz w:val="21"/>
          <w:szCs w:val="21"/>
        </w:rPr>
        <w:t xml:space="preserve">Urgent Guidance: Priority childcare arrangements in schools for children of essential workforce from Monday 23 March </w:t>
      </w:r>
    </w:p>
    <w:p w:rsidR="0093204B" w:rsidRPr="00061841" w:rsidRDefault="0093204B" w:rsidP="0093204B">
      <w:pPr>
        <w:pStyle w:val="Default"/>
        <w:rPr>
          <w:sz w:val="21"/>
          <w:szCs w:val="21"/>
        </w:rPr>
      </w:pPr>
    </w:p>
    <w:p w:rsidR="0093204B" w:rsidRPr="00061841" w:rsidRDefault="0093204B" w:rsidP="0093204B">
      <w:pPr>
        <w:pStyle w:val="Default"/>
        <w:rPr>
          <w:sz w:val="21"/>
          <w:szCs w:val="21"/>
        </w:rPr>
      </w:pPr>
      <w:r w:rsidRPr="00061841">
        <w:rPr>
          <w:sz w:val="21"/>
          <w:szCs w:val="21"/>
        </w:rPr>
        <w:t xml:space="preserve">As a country, we all need to do what we can to reduce the spread of the COVID-19 virus. That is why the government has given clear guidance on self-isolation, household isolation and social distancing. </w:t>
      </w:r>
      <w:r w:rsidR="00CE26D6" w:rsidRPr="00061841">
        <w:rPr>
          <w:sz w:val="21"/>
          <w:szCs w:val="21"/>
        </w:rPr>
        <w:t>T</w:t>
      </w:r>
      <w:r w:rsidRPr="00061841">
        <w:rPr>
          <w:sz w:val="21"/>
          <w:szCs w:val="21"/>
        </w:rPr>
        <w:t xml:space="preserve">he most recent scientific advice on how to further limit the spread of COVID-19 is clear. If children can stay safely at home, they should, to limit the chance of the virus spreading. </w:t>
      </w:r>
    </w:p>
    <w:p w:rsidR="0093204B" w:rsidRPr="00061841" w:rsidRDefault="0093204B" w:rsidP="0093204B">
      <w:pPr>
        <w:pStyle w:val="Default"/>
        <w:rPr>
          <w:sz w:val="21"/>
          <w:szCs w:val="21"/>
        </w:rPr>
      </w:pPr>
      <w:r w:rsidRPr="00061841">
        <w:rPr>
          <w:sz w:val="21"/>
          <w:szCs w:val="21"/>
        </w:rPr>
        <w:t xml:space="preserve">That is why the government has asked parents to </w:t>
      </w:r>
      <w:r w:rsidRPr="00061841">
        <w:rPr>
          <w:b/>
          <w:bCs/>
          <w:sz w:val="21"/>
          <w:szCs w:val="21"/>
        </w:rPr>
        <w:t>keep their children at home, wherever possible</w:t>
      </w:r>
      <w:r w:rsidRPr="00061841">
        <w:rPr>
          <w:sz w:val="21"/>
          <w:szCs w:val="21"/>
        </w:rPr>
        <w:t xml:space="preserve">. </w:t>
      </w:r>
    </w:p>
    <w:p w:rsidR="0093204B" w:rsidRPr="00061841" w:rsidRDefault="0093204B" w:rsidP="0093204B">
      <w:pPr>
        <w:pStyle w:val="Default"/>
        <w:rPr>
          <w:b/>
          <w:bCs/>
          <w:sz w:val="21"/>
          <w:szCs w:val="21"/>
        </w:rPr>
      </w:pPr>
    </w:p>
    <w:p w:rsidR="0093204B" w:rsidRPr="00061841" w:rsidRDefault="0093204B" w:rsidP="0093204B">
      <w:pPr>
        <w:pStyle w:val="Default"/>
        <w:rPr>
          <w:b/>
          <w:sz w:val="21"/>
          <w:szCs w:val="21"/>
        </w:rPr>
      </w:pPr>
      <w:r w:rsidRPr="00061841">
        <w:rPr>
          <w:sz w:val="21"/>
          <w:szCs w:val="21"/>
        </w:rPr>
        <w:t xml:space="preserve">In Cumbria </w:t>
      </w:r>
      <w:r w:rsidRPr="00061841">
        <w:rPr>
          <w:b/>
          <w:bCs/>
          <w:sz w:val="21"/>
          <w:szCs w:val="21"/>
        </w:rPr>
        <w:t xml:space="preserve">some </w:t>
      </w:r>
      <w:r w:rsidRPr="00061841">
        <w:rPr>
          <w:sz w:val="21"/>
          <w:szCs w:val="21"/>
        </w:rPr>
        <w:t xml:space="preserve">schools will reopen to support key workers with essential child care, </w:t>
      </w:r>
      <w:r w:rsidRPr="00061841">
        <w:rPr>
          <w:b/>
          <w:bCs/>
          <w:sz w:val="21"/>
          <w:szCs w:val="21"/>
        </w:rPr>
        <w:t>only for those children who absolutely need to attend</w:t>
      </w:r>
      <w:r w:rsidRPr="00061841">
        <w:rPr>
          <w:sz w:val="21"/>
          <w:szCs w:val="21"/>
        </w:rPr>
        <w:t xml:space="preserve">. This will be children who are vulnerable or whose parents are critical to the Covid-19 response and cannot be safely cared for at home. </w:t>
      </w:r>
      <w:r w:rsidR="00CE26D6" w:rsidRPr="00061841">
        <w:rPr>
          <w:b/>
          <w:sz w:val="21"/>
          <w:szCs w:val="21"/>
        </w:rPr>
        <w:t>Where this applies we will contact parents next week with further details and arrangements.</w:t>
      </w:r>
    </w:p>
    <w:p w:rsidR="0093204B" w:rsidRPr="00061841" w:rsidRDefault="0093204B" w:rsidP="0093204B">
      <w:pPr>
        <w:pStyle w:val="Default"/>
        <w:rPr>
          <w:sz w:val="21"/>
          <w:szCs w:val="21"/>
        </w:rPr>
      </w:pPr>
    </w:p>
    <w:p w:rsidR="0093204B" w:rsidRPr="00061841" w:rsidRDefault="0093204B" w:rsidP="0093204B">
      <w:pPr>
        <w:pStyle w:val="Default"/>
        <w:rPr>
          <w:b/>
          <w:sz w:val="21"/>
          <w:szCs w:val="21"/>
        </w:rPr>
      </w:pPr>
      <w:r w:rsidRPr="00061841">
        <w:rPr>
          <w:b/>
          <w:sz w:val="21"/>
          <w:szCs w:val="21"/>
        </w:rPr>
        <w:t xml:space="preserve">South Cumbria Pupil Referral Service will NOT be open to students next week </w:t>
      </w:r>
      <w:r w:rsidR="00061841">
        <w:rPr>
          <w:b/>
          <w:sz w:val="21"/>
          <w:szCs w:val="21"/>
        </w:rPr>
        <w:t xml:space="preserve">and your child should not any other school </w:t>
      </w:r>
      <w:r w:rsidRPr="00061841">
        <w:rPr>
          <w:b/>
          <w:sz w:val="21"/>
          <w:szCs w:val="21"/>
        </w:rPr>
        <w:t>–</w:t>
      </w:r>
      <w:r w:rsidR="00CE26D6" w:rsidRPr="00061841">
        <w:rPr>
          <w:b/>
          <w:sz w:val="21"/>
          <w:szCs w:val="21"/>
        </w:rPr>
        <w:t xml:space="preserve"> </w:t>
      </w:r>
      <w:r w:rsidRPr="00061841">
        <w:rPr>
          <w:b/>
          <w:sz w:val="21"/>
          <w:szCs w:val="21"/>
        </w:rPr>
        <w:t xml:space="preserve">meanwhile work is enclosed and further work and on-line learning is accessible via our website </w:t>
      </w:r>
      <w:hyperlink r:id="rId9" w:history="1">
        <w:r w:rsidRPr="00061841">
          <w:rPr>
            <w:rStyle w:val="Hyperlink"/>
            <w:b/>
            <w:sz w:val="21"/>
            <w:szCs w:val="21"/>
          </w:rPr>
          <w:t>http://www.southcumbriaap.org.uk/</w:t>
        </w:r>
      </w:hyperlink>
      <w:r w:rsidR="003C19CD">
        <w:rPr>
          <w:b/>
          <w:sz w:val="21"/>
          <w:szCs w:val="21"/>
        </w:rPr>
        <w:t>.  Also enclosed is some mental health support materials, e-safety advice and tokens for access to Free School Meals from local community hubs.</w:t>
      </w:r>
    </w:p>
    <w:p w:rsidR="0093204B" w:rsidRPr="00061841" w:rsidRDefault="0093204B" w:rsidP="0093204B">
      <w:pPr>
        <w:pStyle w:val="Default"/>
        <w:rPr>
          <w:sz w:val="21"/>
          <w:szCs w:val="21"/>
        </w:rPr>
      </w:pPr>
    </w:p>
    <w:p w:rsidR="0093204B" w:rsidRPr="00061841" w:rsidRDefault="0093204B" w:rsidP="0093204B">
      <w:pPr>
        <w:pStyle w:val="Default"/>
        <w:rPr>
          <w:sz w:val="21"/>
          <w:szCs w:val="21"/>
        </w:rPr>
      </w:pPr>
      <w:r w:rsidRPr="00061841">
        <w:rPr>
          <w:b/>
          <w:bCs/>
          <w:sz w:val="21"/>
          <w:szCs w:val="21"/>
        </w:rPr>
        <w:t xml:space="preserve">Who can send their children to school? </w:t>
      </w:r>
    </w:p>
    <w:p w:rsidR="0093204B" w:rsidRPr="00061841" w:rsidRDefault="0093204B" w:rsidP="0093204B">
      <w:pPr>
        <w:pStyle w:val="Default"/>
        <w:rPr>
          <w:sz w:val="21"/>
          <w:szCs w:val="21"/>
        </w:rPr>
      </w:pPr>
      <w:r w:rsidRPr="00061841">
        <w:rPr>
          <w:sz w:val="21"/>
          <w:szCs w:val="21"/>
        </w:rPr>
        <w:t xml:space="preserve">Parents whose work is </w:t>
      </w:r>
      <w:r w:rsidRPr="00061841">
        <w:rPr>
          <w:b/>
          <w:bCs/>
          <w:sz w:val="21"/>
          <w:szCs w:val="21"/>
        </w:rPr>
        <w:t xml:space="preserve">critical </w:t>
      </w:r>
      <w:r w:rsidRPr="00061841">
        <w:rPr>
          <w:sz w:val="21"/>
          <w:szCs w:val="21"/>
        </w:rPr>
        <w:t xml:space="preserve">to the COVID-19 response include those who work in health and social care and in other key sectors outlined below. Many parents working in these sectors may be able to ensure their child is kept at home. </w:t>
      </w:r>
      <w:r w:rsidRPr="00061841">
        <w:rPr>
          <w:b/>
          <w:bCs/>
          <w:sz w:val="21"/>
          <w:szCs w:val="21"/>
        </w:rPr>
        <w:t xml:space="preserve">And every child who can be safely cared for at home should be. </w:t>
      </w:r>
    </w:p>
    <w:p w:rsidR="0093204B" w:rsidRPr="00061841" w:rsidRDefault="0093204B" w:rsidP="0093204B">
      <w:pPr>
        <w:pStyle w:val="Default"/>
        <w:rPr>
          <w:sz w:val="21"/>
          <w:szCs w:val="21"/>
        </w:rPr>
      </w:pPr>
    </w:p>
    <w:p w:rsidR="0093204B" w:rsidRPr="00061841" w:rsidRDefault="0093204B" w:rsidP="0093204B">
      <w:pPr>
        <w:pStyle w:val="Default"/>
        <w:rPr>
          <w:b/>
          <w:bCs/>
          <w:sz w:val="21"/>
          <w:szCs w:val="21"/>
        </w:rPr>
      </w:pPr>
      <w:r w:rsidRPr="00061841">
        <w:rPr>
          <w:sz w:val="21"/>
          <w:szCs w:val="21"/>
        </w:rPr>
        <w:t xml:space="preserve">If parents think they fall within the critical categories </w:t>
      </w:r>
      <w:r w:rsidR="00CE26D6" w:rsidRPr="00061841">
        <w:rPr>
          <w:sz w:val="21"/>
          <w:szCs w:val="21"/>
        </w:rPr>
        <w:t>(overleaf)</w:t>
      </w:r>
      <w:r w:rsidRPr="00061841">
        <w:rPr>
          <w:sz w:val="21"/>
          <w:szCs w:val="21"/>
        </w:rPr>
        <w:t xml:space="preserve"> they should </w:t>
      </w:r>
      <w:r w:rsidRPr="00061841">
        <w:rPr>
          <w:b/>
          <w:bCs/>
          <w:sz w:val="21"/>
          <w:szCs w:val="21"/>
        </w:rPr>
        <w:t xml:space="preserve">confirm with their employer their specific role is necessary </w:t>
      </w:r>
      <w:r w:rsidRPr="00061841">
        <w:rPr>
          <w:sz w:val="21"/>
          <w:szCs w:val="21"/>
        </w:rPr>
        <w:t xml:space="preserve">for the continuation of this essential public service. </w:t>
      </w:r>
      <w:r w:rsidRPr="00061841">
        <w:rPr>
          <w:b/>
          <w:bCs/>
          <w:sz w:val="21"/>
          <w:szCs w:val="21"/>
        </w:rPr>
        <w:t>If people do not act responsibly and only send children if necessary, schools that are open may be overwhelmed. Please be responsible and only make use of this provision if absolutely necessary.</w:t>
      </w:r>
    </w:p>
    <w:p w:rsidR="00CE26D6" w:rsidRPr="00061841" w:rsidRDefault="00CE26D6" w:rsidP="0093204B">
      <w:pPr>
        <w:pStyle w:val="Default"/>
        <w:rPr>
          <w:b/>
          <w:bCs/>
          <w:sz w:val="21"/>
          <w:szCs w:val="21"/>
        </w:rPr>
      </w:pPr>
    </w:p>
    <w:p w:rsidR="0093204B" w:rsidRDefault="00CE26D6" w:rsidP="00CE26D6">
      <w:pPr>
        <w:pStyle w:val="Default"/>
        <w:rPr>
          <w:bCs/>
          <w:sz w:val="21"/>
          <w:szCs w:val="21"/>
        </w:rPr>
      </w:pPr>
      <w:r w:rsidRPr="00061841">
        <w:rPr>
          <w:bCs/>
          <w:sz w:val="21"/>
          <w:szCs w:val="21"/>
        </w:rPr>
        <w:t xml:space="preserve">I am very grateful for the dedication and commitment of our staff. In incredibly difficult circumstances they have worked tirelessly to maintain normality here for your children and on top of that have been preparing, in the background, to ensure we can provide an education for your children whilst we will be closed.  We are also thankful to you for your cooperation and understanding during this time. </w:t>
      </w:r>
    </w:p>
    <w:p w:rsidR="00061841" w:rsidRDefault="00061841" w:rsidP="00CE26D6">
      <w:pPr>
        <w:pStyle w:val="Default"/>
        <w:rPr>
          <w:bCs/>
          <w:sz w:val="21"/>
          <w:szCs w:val="21"/>
        </w:rPr>
      </w:pPr>
    </w:p>
    <w:p w:rsidR="00061841" w:rsidRDefault="00061841" w:rsidP="00061841">
      <w:pPr>
        <w:pStyle w:val="Default"/>
        <w:rPr>
          <w:sz w:val="22"/>
          <w:szCs w:val="22"/>
        </w:rPr>
      </w:pPr>
      <w:r>
        <w:rPr>
          <w:sz w:val="22"/>
          <w:szCs w:val="22"/>
        </w:rPr>
        <w:t>Yours Sincerely</w:t>
      </w:r>
    </w:p>
    <w:p w:rsidR="00061841" w:rsidRDefault="002B169A" w:rsidP="00061841">
      <w:pPr>
        <w:pStyle w:val="Default"/>
        <w:rPr>
          <w:sz w:val="22"/>
          <w:szCs w:val="22"/>
        </w:rPr>
      </w:pPr>
      <w:r>
        <w:rPr>
          <w:noProof/>
          <w:sz w:val="22"/>
          <w:szCs w:val="22"/>
        </w:rPr>
        <w:drawing>
          <wp:inline distT="0" distB="0" distL="0" distR="0">
            <wp:extent cx="1247775" cy="333375"/>
            <wp:effectExtent l="0" t="0" r="0" b="0"/>
            <wp:docPr id="2" name="Picture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p w:rsidR="00061841" w:rsidRPr="003C19CD" w:rsidRDefault="00061841" w:rsidP="00061841">
      <w:pPr>
        <w:pStyle w:val="Default"/>
        <w:rPr>
          <w:sz w:val="21"/>
          <w:szCs w:val="21"/>
        </w:rPr>
      </w:pPr>
      <w:r w:rsidRPr="003C19CD">
        <w:rPr>
          <w:sz w:val="21"/>
          <w:szCs w:val="21"/>
        </w:rPr>
        <w:t>Lisa Balderstone (Head teacher)</w:t>
      </w:r>
    </w:p>
    <w:p w:rsidR="003C19CD" w:rsidRPr="0093204B" w:rsidRDefault="003C19CD" w:rsidP="00061841">
      <w:pPr>
        <w:pStyle w:val="Default"/>
        <w:rPr>
          <w:sz w:val="20"/>
          <w:szCs w:val="20"/>
        </w:rPr>
      </w:pPr>
    </w:p>
    <w:p w:rsidR="0093204B" w:rsidRPr="00CE26D6" w:rsidRDefault="0093204B" w:rsidP="0093204B">
      <w:pPr>
        <w:pStyle w:val="Default"/>
        <w:rPr>
          <w:sz w:val="21"/>
          <w:szCs w:val="21"/>
        </w:rPr>
      </w:pPr>
      <w:r w:rsidRPr="00CE26D6">
        <w:rPr>
          <w:sz w:val="21"/>
          <w:szCs w:val="21"/>
        </w:rPr>
        <w:t xml:space="preserve">Health and social care </w:t>
      </w:r>
    </w:p>
    <w:p w:rsidR="0093204B" w:rsidRPr="00CE26D6" w:rsidRDefault="0093204B" w:rsidP="0093204B">
      <w:pPr>
        <w:pStyle w:val="Default"/>
        <w:rPr>
          <w:sz w:val="21"/>
          <w:szCs w:val="21"/>
        </w:rPr>
      </w:pPr>
      <w:r w:rsidRPr="00CE26D6">
        <w:rPr>
          <w:sz w:val="21"/>
          <w:szCs w:val="21"/>
        </w:rPr>
        <w:t xml:space="preserve">This includes but is not limited to doctors, nurses, midwives, paramedics, social workers, care workers, and other frontline health and social care staff including volunteers; the support and specialist staff required to maintain the UK’s health and social care sector; those working as part of the health and social care supply chain, including producers and distributers of medicines and medical and personal protective equipment. </w:t>
      </w:r>
    </w:p>
    <w:p w:rsidR="0093204B" w:rsidRPr="00CE26D6" w:rsidRDefault="0093204B" w:rsidP="0093204B">
      <w:pPr>
        <w:pStyle w:val="Default"/>
        <w:rPr>
          <w:sz w:val="21"/>
          <w:szCs w:val="21"/>
        </w:rPr>
      </w:pPr>
    </w:p>
    <w:p w:rsidR="0093204B" w:rsidRPr="00CE26D6" w:rsidRDefault="0093204B" w:rsidP="0093204B">
      <w:pPr>
        <w:pStyle w:val="Default"/>
        <w:rPr>
          <w:sz w:val="21"/>
          <w:szCs w:val="21"/>
        </w:rPr>
      </w:pPr>
      <w:r w:rsidRPr="00CE26D6">
        <w:rPr>
          <w:sz w:val="21"/>
          <w:szCs w:val="21"/>
        </w:rPr>
        <w:t xml:space="preserve">Education and childcare </w:t>
      </w:r>
    </w:p>
    <w:p w:rsidR="0093204B" w:rsidRPr="00CE26D6" w:rsidRDefault="0093204B" w:rsidP="0093204B">
      <w:pPr>
        <w:pStyle w:val="Default"/>
        <w:rPr>
          <w:sz w:val="21"/>
          <w:szCs w:val="21"/>
        </w:rPr>
      </w:pPr>
      <w:r w:rsidRPr="00CE26D6">
        <w:rPr>
          <w:sz w:val="21"/>
          <w:szCs w:val="21"/>
        </w:rPr>
        <w:t xml:space="preserve">This includes nursery and teaching staff, social workers and those specialist education professionals who must remain active during the COVID-19 response to deliver this approach. </w:t>
      </w:r>
    </w:p>
    <w:p w:rsidR="0093204B" w:rsidRPr="00CE26D6" w:rsidRDefault="0093204B" w:rsidP="0093204B">
      <w:pPr>
        <w:pStyle w:val="Default"/>
        <w:rPr>
          <w:sz w:val="21"/>
          <w:szCs w:val="21"/>
        </w:rPr>
      </w:pPr>
    </w:p>
    <w:p w:rsidR="0093204B" w:rsidRPr="00CE26D6" w:rsidRDefault="0093204B" w:rsidP="0093204B">
      <w:pPr>
        <w:pStyle w:val="Default"/>
        <w:rPr>
          <w:sz w:val="21"/>
          <w:szCs w:val="21"/>
        </w:rPr>
      </w:pPr>
      <w:r w:rsidRPr="00CE26D6">
        <w:rPr>
          <w:sz w:val="21"/>
          <w:szCs w:val="21"/>
        </w:rPr>
        <w:t xml:space="preserve">Key public services </w:t>
      </w:r>
    </w:p>
    <w:p w:rsidR="0093204B" w:rsidRPr="00CE26D6" w:rsidRDefault="0093204B" w:rsidP="0093204B">
      <w:pPr>
        <w:pStyle w:val="Default"/>
        <w:rPr>
          <w:sz w:val="21"/>
          <w:szCs w:val="21"/>
        </w:rPr>
      </w:pPr>
      <w:r w:rsidRPr="00CE26D6">
        <w:rPr>
          <w:sz w:val="21"/>
          <w:szCs w:val="21"/>
        </w:rPr>
        <w:t xml:space="preserve">This includes those essential to the running of the justice system, religious staff, charities and workers delivering key frontline services, those responsible for the management of the deceased, and journalists and broadcasters who are providing public service broadcasting. </w:t>
      </w:r>
    </w:p>
    <w:p w:rsidR="0093204B" w:rsidRPr="00CE26D6" w:rsidRDefault="0093204B" w:rsidP="0093204B">
      <w:pPr>
        <w:pStyle w:val="Default"/>
        <w:rPr>
          <w:sz w:val="21"/>
          <w:szCs w:val="21"/>
        </w:rPr>
      </w:pPr>
    </w:p>
    <w:p w:rsidR="0093204B" w:rsidRPr="00CE26D6" w:rsidRDefault="0093204B" w:rsidP="0093204B">
      <w:pPr>
        <w:pStyle w:val="Default"/>
        <w:rPr>
          <w:sz w:val="21"/>
          <w:szCs w:val="21"/>
        </w:rPr>
      </w:pPr>
      <w:r w:rsidRPr="00CE26D6">
        <w:rPr>
          <w:sz w:val="21"/>
          <w:szCs w:val="21"/>
        </w:rPr>
        <w:t xml:space="preserve">Local and national government </w:t>
      </w:r>
    </w:p>
    <w:p w:rsidR="0093204B" w:rsidRPr="00CE26D6" w:rsidRDefault="0093204B" w:rsidP="0093204B">
      <w:pPr>
        <w:pStyle w:val="Default"/>
        <w:rPr>
          <w:sz w:val="21"/>
          <w:szCs w:val="21"/>
        </w:rPr>
      </w:pPr>
      <w:r w:rsidRPr="00CE26D6">
        <w:rPr>
          <w:sz w:val="21"/>
          <w:szCs w:val="21"/>
        </w:rPr>
        <w:t xml:space="preserve">This only includes those administrative occupations essential to the effective delivery of the COVID-19 response or delivering essential public services such as the payment of benefits, including in government agencies and arms length bodies. </w:t>
      </w:r>
    </w:p>
    <w:p w:rsidR="0093204B" w:rsidRPr="00CE26D6" w:rsidRDefault="0093204B" w:rsidP="0093204B">
      <w:pPr>
        <w:pStyle w:val="Default"/>
        <w:rPr>
          <w:sz w:val="21"/>
          <w:szCs w:val="21"/>
        </w:rPr>
      </w:pPr>
    </w:p>
    <w:p w:rsidR="0093204B" w:rsidRPr="00CE26D6" w:rsidRDefault="0093204B" w:rsidP="0093204B">
      <w:pPr>
        <w:pStyle w:val="Default"/>
        <w:rPr>
          <w:sz w:val="21"/>
          <w:szCs w:val="21"/>
        </w:rPr>
      </w:pPr>
      <w:r w:rsidRPr="00CE26D6">
        <w:rPr>
          <w:sz w:val="21"/>
          <w:szCs w:val="21"/>
        </w:rPr>
        <w:t xml:space="preserve">Food and other necessary goods </w:t>
      </w:r>
    </w:p>
    <w:p w:rsidR="0093204B" w:rsidRPr="00CE26D6" w:rsidRDefault="0093204B" w:rsidP="0093204B">
      <w:pPr>
        <w:pStyle w:val="Default"/>
        <w:rPr>
          <w:sz w:val="21"/>
          <w:szCs w:val="21"/>
        </w:rPr>
      </w:pPr>
      <w:r w:rsidRPr="00CE26D6">
        <w:rPr>
          <w:sz w:val="21"/>
          <w:szCs w:val="21"/>
        </w:rPr>
        <w:t xml:space="preserve">This includes those involved in food production, processing, distribution, sale and delivery as well as those essential to the provision of other key goods (for example hygienic and veterinary medicines). </w:t>
      </w:r>
    </w:p>
    <w:p w:rsidR="0093204B" w:rsidRPr="00CE26D6" w:rsidRDefault="0093204B" w:rsidP="0093204B">
      <w:pPr>
        <w:pStyle w:val="Default"/>
        <w:rPr>
          <w:sz w:val="21"/>
          <w:szCs w:val="21"/>
        </w:rPr>
      </w:pPr>
    </w:p>
    <w:p w:rsidR="0093204B" w:rsidRPr="00CE26D6" w:rsidRDefault="0093204B" w:rsidP="0093204B">
      <w:pPr>
        <w:pStyle w:val="Default"/>
        <w:rPr>
          <w:sz w:val="21"/>
          <w:szCs w:val="21"/>
        </w:rPr>
      </w:pPr>
      <w:r w:rsidRPr="00CE26D6">
        <w:rPr>
          <w:sz w:val="21"/>
          <w:szCs w:val="21"/>
        </w:rPr>
        <w:t xml:space="preserve">Public safety and national security </w:t>
      </w:r>
    </w:p>
    <w:p w:rsidR="0093204B" w:rsidRPr="00CE26D6" w:rsidRDefault="0093204B" w:rsidP="0093204B">
      <w:pPr>
        <w:pStyle w:val="Default"/>
        <w:rPr>
          <w:sz w:val="21"/>
          <w:szCs w:val="21"/>
        </w:rPr>
      </w:pPr>
      <w:r w:rsidRPr="00CE26D6">
        <w:rPr>
          <w:sz w:val="21"/>
          <w:szCs w:val="21"/>
        </w:rPr>
        <w:t xml:space="preserve">This includes police and support staff, Ministry of Defence civilians, contractor and armed forces personnel (those critical to the delivery of key defence and national security outputs and essential to the response to the COVID-19 pandemic), fire and rescue service employees (including support staff), National Crime Agency staff, those maintaining border security, prison and probation staff and other national security roles, including those overseas. </w:t>
      </w:r>
    </w:p>
    <w:p w:rsidR="0093204B" w:rsidRPr="00CE26D6" w:rsidRDefault="0093204B" w:rsidP="0093204B">
      <w:pPr>
        <w:pStyle w:val="Default"/>
        <w:rPr>
          <w:sz w:val="21"/>
          <w:szCs w:val="21"/>
        </w:rPr>
      </w:pPr>
    </w:p>
    <w:p w:rsidR="0093204B" w:rsidRPr="00CE26D6" w:rsidRDefault="0093204B" w:rsidP="0093204B">
      <w:pPr>
        <w:pStyle w:val="Default"/>
        <w:rPr>
          <w:sz w:val="21"/>
          <w:szCs w:val="21"/>
        </w:rPr>
      </w:pPr>
      <w:r w:rsidRPr="00CE26D6">
        <w:rPr>
          <w:sz w:val="21"/>
          <w:szCs w:val="21"/>
        </w:rPr>
        <w:t xml:space="preserve">Transport </w:t>
      </w:r>
    </w:p>
    <w:p w:rsidR="0093204B" w:rsidRPr="00CE26D6" w:rsidRDefault="0093204B" w:rsidP="0093204B">
      <w:pPr>
        <w:pStyle w:val="Default"/>
        <w:rPr>
          <w:sz w:val="21"/>
          <w:szCs w:val="21"/>
        </w:rPr>
      </w:pPr>
      <w:r w:rsidRPr="00CE26D6">
        <w:rPr>
          <w:sz w:val="21"/>
          <w:szCs w:val="21"/>
        </w:rPr>
        <w:t xml:space="preserve">This includes those who will keep the air, water, road and rail passenger and freight transport modes operating during the COVID-19 response, including those working on transport systems through which supply chains pass. </w:t>
      </w:r>
    </w:p>
    <w:p w:rsidR="0093204B" w:rsidRPr="00CE26D6" w:rsidRDefault="0093204B" w:rsidP="0093204B">
      <w:pPr>
        <w:pStyle w:val="Default"/>
        <w:rPr>
          <w:sz w:val="21"/>
          <w:szCs w:val="21"/>
        </w:rPr>
      </w:pPr>
    </w:p>
    <w:p w:rsidR="0093204B" w:rsidRPr="00CE26D6" w:rsidRDefault="0093204B" w:rsidP="0093204B">
      <w:pPr>
        <w:pStyle w:val="Default"/>
        <w:rPr>
          <w:sz w:val="21"/>
          <w:szCs w:val="21"/>
        </w:rPr>
      </w:pPr>
      <w:r w:rsidRPr="00CE26D6">
        <w:rPr>
          <w:sz w:val="21"/>
          <w:szCs w:val="21"/>
        </w:rPr>
        <w:t xml:space="preserve">Utilities, communication and financial services </w:t>
      </w:r>
    </w:p>
    <w:p w:rsidR="0093204B" w:rsidRPr="00CE26D6" w:rsidRDefault="0093204B" w:rsidP="0093204B">
      <w:pPr>
        <w:pStyle w:val="Default"/>
        <w:rPr>
          <w:sz w:val="21"/>
          <w:szCs w:val="21"/>
        </w:rPr>
      </w:pPr>
      <w:r w:rsidRPr="00CE26D6">
        <w:rPr>
          <w:sz w:val="21"/>
          <w:szCs w:val="21"/>
        </w:rPr>
        <w:t>This includes staff needed for essential financial services provision (including but not limited to workers in banks, building societies and financial market infrastructure), the oil, gas, electricity and water sectors (including sewerage), information technology and data infrastructure sector and primary industry supplies to continue during the COVID-19 response, as well as key staff working in the civil nuclear, chemicals, telecommunications (including but not limited to network operations, field engineering, call centre staff, IT and data infrastructure, 999 and 111 critical services), postal services and delivery, payments providers and waste disposal sectors.</w:t>
      </w:r>
    </w:p>
    <w:p w:rsidR="00CE26D6" w:rsidRDefault="00CE26D6" w:rsidP="0093204B">
      <w:pPr>
        <w:pStyle w:val="Default"/>
        <w:rPr>
          <w:sz w:val="22"/>
          <w:szCs w:val="22"/>
        </w:rPr>
      </w:pPr>
    </w:p>
    <w:p w:rsidR="00061841" w:rsidRPr="0093204B" w:rsidRDefault="00061841">
      <w:pPr>
        <w:pStyle w:val="Default"/>
        <w:rPr>
          <w:sz w:val="20"/>
          <w:szCs w:val="20"/>
        </w:rPr>
      </w:pPr>
      <w:bookmarkStart w:id="0" w:name="_GoBack"/>
      <w:bookmarkEnd w:id="0"/>
    </w:p>
    <w:sectPr w:rsidR="00061841" w:rsidRPr="0093204B" w:rsidSect="003C19CD">
      <w:footerReference w:type="default" r:id="rId11"/>
      <w:type w:val="continuous"/>
      <w:pgSz w:w="11906" w:h="16838" w:code="9"/>
      <w:pgMar w:top="993"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1E5" w:rsidRDefault="003E31E5">
      <w:r>
        <w:separator/>
      </w:r>
    </w:p>
  </w:endnote>
  <w:endnote w:type="continuationSeparator" w:id="0">
    <w:p w:rsidR="003E31E5" w:rsidRDefault="003E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8" w:space="0" w:color="BFBFBF"/>
      </w:tblBorders>
      <w:tblLook w:val="04A0" w:firstRow="1" w:lastRow="0" w:firstColumn="1" w:lastColumn="0" w:noHBand="0" w:noVBand="1"/>
    </w:tblPr>
    <w:tblGrid>
      <w:gridCol w:w="9242"/>
    </w:tblGrid>
    <w:tr w:rsidR="00DF1864" w:rsidRPr="00791688" w:rsidTr="00561CEC">
      <w:tc>
        <w:tcPr>
          <w:tcW w:w="9997" w:type="dxa"/>
          <w:shd w:val="clear" w:color="auto" w:fill="auto"/>
        </w:tcPr>
        <w:p w:rsidR="00DF1864" w:rsidRPr="00791688" w:rsidRDefault="00DF1864" w:rsidP="00791688">
          <w:pPr>
            <w:pStyle w:val="Footer"/>
            <w:rPr>
              <w:caps/>
              <w:noProof/>
              <w:color w:val="5B9BD5"/>
            </w:rPr>
          </w:pPr>
        </w:p>
      </w:tc>
    </w:tr>
    <w:tr w:rsidR="00DF1864" w:rsidRPr="00791688" w:rsidTr="00561CEC">
      <w:tc>
        <w:tcPr>
          <w:tcW w:w="9997" w:type="dxa"/>
          <w:shd w:val="clear" w:color="auto" w:fill="auto"/>
        </w:tcPr>
        <w:p w:rsidR="00DF1864" w:rsidRPr="00791688" w:rsidRDefault="002B169A" w:rsidP="00791688">
          <w:pPr>
            <w:pStyle w:val="Footer"/>
            <w:rPr>
              <w:caps/>
              <w:noProof/>
              <w:color w:val="5B9BD5"/>
            </w:rPr>
          </w:pPr>
          <w:r w:rsidRPr="00791688">
            <w:rPr>
              <w:caps/>
              <w:noProof/>
              <w:color w:val="5B9BD5"/>
              <w:lang w:eastAsia="en-GB"/>
            </w:rPr>
            <w:drawing>
              <wp:inline distT="0" distB="0" distL="0" distR="0">
                <wp:extent cx="1666875" cy="685800"/>
                <wp:effectExtent l="0" t="0" r="0" b="0"/>
                <wp:docPr id="3" name="Picture 3" descr="We 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 Are"/>
                        <pic:cNvPicPr>
                          <a:picLocks noChangeAspect="1" noChangeArrowheads="1"/>
                        </pic:cNvPicPr>
                      </pic:nvPicPr>
                      <pic:blipFill>
                        <a:blip r:embed="rId1">
                          <a:extLst>
                            <a:ext uri="{28A0092B-C50C-407E-A947-70E740481C1C}">
                              <a14:useLocalDpi xmlns:a14="http://schemas.microsoft.com/office/drawing/2010/main" val="0"/>
                            </a:ext>
                          </a:extLst>
                        </a:blip>
                        <a:srcRect t="21474" b="41948"/>
                        <a:stretch>
                          <a:fillRect/>
                        </a:stretch>
                      </pic:blipFill>
                      <pic:spPr bwMode="auto">
                        <a:xfrm>
                          <a:off x="0" y="0"/>
                          <a:ext cx="1666875" cy="685800"/>
                        </a:xfrm>
                        <a:prstGeom prst="rect">
                          <a:avLst/>
                        </a:prstGeom>
                        <a:noFill/>
                        <a:ln>
                          <a:noFill/>
                        </a:ln>
                      </pic:spPr>
                    </pic:pic>
                  </a:graphicData>
                </a:graphic>
              </wp:inline>
            </w:drawing>
          </w:r>
        </w:p>
      </w:tc>
    </w:tr>
  </w:tbl>
  <w:p w:rsidR="00DF1864" w:rsidRPr="00791688" w:rsidRDefault="00DF1864" w:rsidP="00791688">
    <w:pPr>
      <w:pStyle w:val="Footer"/>
      <w:rPr>
        <w:caps/>
        <w:noProof/>
        <w:color w:val="5B9BD5"/>
      </w:rPr>
    </w:pPr>
  </w:p>
  <w:p w:rsidR="00DF1864" w:rsidRDefault="00DF1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1E5" w:rsidRDefault="003E31E5">
      <w:r>
        <w:separator/>
      </w:r>
    </w:p>
  </w:footnote>
  <w:footnote w:type="continuationSeparator" w:id="0">
    <w:p w:rsidR="003E31E5" w:rsidRDefault="003E3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22AED"/>
    <w:multiLevelType w:val="multilevel"/>
    <w:tmpl w:val="E80A8A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5FF2F25"/>
    <w:multiLevelType w:val="multilevel"/>
    <w:tmpl w:val="0A1C524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0"/>
        </w:tabs>
        <w:ind w:left="720" w:hanging="720"/>
      </w:pPr>
      <w:rPr>
        <w:rFonts w:hint="default"/>
        <w:b w:val="0"/>
        <w:sz w:val="22"/>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46"/>
    <w:rsid w:val="00005EE6"/>
    <w:rsid w:val="00010851"/>
    <w:rsid w:val="00011BE5"/>
    <w:rsid w:val="00012422"/>
    <w:rsid w:val="0002321E"/>
    <w:rsid w:val="00023547"/>
    <w:rsid w:val="0003272D"/>
    <w:rsid w:val="000337AF"/>
    <w:rsid w:val="00046D20"/>
    <w:rsid w:val="00050A43"/>
    <w:rsid w:val="00054BA0"/>
    <w:rsid w:val="000561A0"/>
    <w:rsid w:val="00057DF0"/>
    <w:rsid w:val="00061841"/>
    <w:rsid w:val="0007084E"/>
    <w:rsid w:val="00091BF4"/>
    <w:rsid w:val="000924F3"/>
    <w:rsid w:val="000A2892"/>
    <w:rsid w:val="000A7CD9"/>
    <w:rsid w:val="000B0D95"/>
    <w:rsid w:val="000B1627"/>
    <w:rsid w:val="000B2445"/>
    <w:rsid w:val="000B4BA9"/>
    <w:rsid w:val="000C2183"/>
    <w:rsid w:val="000C45DE"/>
    <w:rsid w:val="000D005E"/>
    <w:rsid w:val="000D4CC7"/>
    <w:rsid w:val="000D657C"/>
    <w:rsid w:val="000E1D11"/>
    <w:rsid w:val="000E32CC"/>
    <w:rsid w:val="000E3E95"/>
    <w:rsid w:val="000E6179"/>
    <w:rsid w:val="000E63D7"/>
    <w:rsid w:val="000F46EA"/>
    <w:rsid w:val="000F5377"/>
    <w:rsid w:val="00102790"/>
    <w:rsid w:val="00104B56"/>
    <w:rsid w:val="00121321"/>
    <w:rsid w:val="001223CF"/>
    <w:rsid w:val="00123434"/>
    <w:rsid w:val="00124A3A"/>
    <w:rsid w:val="001271D1"/>
    <w:rsid w:val="00127B5A"/>
    <w:rsid w:val="00131E53"/>
    <w:rsid w:val="0013258D"/>
    <w:rsid w:val="001348F5"/>
    <w:rsid w:val="00141158"/>
    <w:rsid w:val="001415D0"/>
    <w:rsid w:val="001450C3"/>
    <w:rsid w:val="00147177"/>
    <w:rsid w:val="00153280"/>
    <w:rsid w:val="00161E5B"/>
    <w:rsid w:val="00163AEC"/>
    <w:rsid w:val="001657AD"/>
    <w:rsid w:val="00173DC0"/>
    <w:rsid w:val="00174520"/>
    <w:rsid w:val="00175D67"/>
    <w:rsid w:val="00184F50"/>
    <w:rsid w:val="00191A7C"/>
    <w:rsid w:val="001A194E"/>
    <w:rsid w:val="001A441C"/>
    <w:rsid w:val="001B2073"/>
    <w:rsid w:val="001B2D6E"/>
    <w:rsid w:val="001C31A7"/>
    <w:rsid w:val="001C37A1"/>
    <w:rsid w:val="001D6C6F"/>
    <w:rsid w:val="001F632B"/>
    <w:rsid w:val="00205D4F"/>
    <w:rsid w:val="002063B1"/>
    <w:rsid w:val="00206E40"/>
    <w:rsid w:val="00235A0D"/>
    <w:rsid w:val="0023644E"/>
    <w:rsid w:val="00237BD2"/>
    <w:rsid w:val="00237FFB"/>
    <w:rsid w:val="002423E6"/>
    <w:rsid w:val="0024285A"/>
    <w:rsid w:val="00250E2C"/>
    <w:rsid w:val="002518EE"/>
    <w:rsid w:val="00251914"/>
    <w:rsid w:val="00251C39"/>
    <w:rsid w:val="002616BA"/>
    <w:rsid w:val="00265253"/>
    <w:rsid w:val="002657BB"/>
    <w:rsid w:val="0027553B"/>
    <w:rsid w:val="00276343"/>
    <w:rsid w:val="00281335"/>
    <w:rsid w:val="00291584"/>
    <w:rsid w:val="00292D39"/>
    <w:rsid w:val="00295505"/>
    <w:rsid w:val="002A2D7A"/>
    <w:rsid w:val="002A743A"/>
    <w:rsid w:val="002B0CC7"/>
    <w:rsid w:val="002B169A"/>
    <w:rsid w:val="002B2146"/>
    <w:rsid w:val="002C13BC"/>
    <w:rsid w:val="002C34B5"/>
    <w:rsid w:val="002C4BC8"/>
    <w:rsid w:val="002C61F0"/>
    <w:rsid w:val="002D520C"/>
    <w:rsid w:val="002D66E9"/>
    <w:rsid w:val="002E1153"/>
    <w:rsid w:val="002E722D"/>
    <w:rsid w:val="002F24A3"/>
    <w:rsid w:val="0030433A"/>
    <w:rsid w:val="00316BE2"/>
    <w:rsid w:val="00322F2F"/>
    <w:rsid w:val="00323190"/>
    <w:rsid w:val="003242FA"/>
    <w:rsid w:val="003246AA"/>
    <w:rsid w:val="00336A36"/>
    <w:rsid w:val="0034338A"/>
    <w:rsid w:val="0034563E"/>
    <w:rsid w:val="00347581"/>
    <w:rsid w:val="00347CBE"/>
    <w:rsid w:val="00355B44"/>
    <w:rsid w:val="003567A3"/>
    <w:rsid w:val="00363C1F"/>
    <w:rsid w:val="003644D5"/>
    <w:rsid w:val="00364812"/>
    <w:rsid w:val="00365D8D"/>
    <w:rsid w:val="00370F43"/>
    <w:rsid w:val="0037149A"/>
    <w:rsid w:val="00372488"/>
    <w:rsid w:val="003756A6"/>
    <w:rsid w:val="00376F31"/>
    <w:rsid w:val="0038120F"/>
    <w:rsid w:val="003825EF"/>
    <w:rsid w:val="00391B27"/>
    <w:rsid w:val="003B092C"/>
    <w:rsid w:val="003B1FB4"/>
    <w:rsid w:val="003B24AA"/>
    <w:rsid w:val="003B2CDC"/>
    <w:rsid w:val="003C19CD"/>
    <w:rsid w:val="003C2973"/>
    <w:rsid w:val="003C3113"/>
    <w:rsid w:val="003C4C3A"/>
    <w:rsid w:val="003C6884"/>
    <w:rsid w:val="003D7ACE"/>
    <w:rsid w:val="003E13F5"/>
    <w:rsid w:val="003E31E5"/>
    <w:rsid w:val="003E337A"/>
    <w:rsid w:val="003F1904"/>
    <w:rsid w:val="003F2B5C"/>
    <w:rsid w:val="003F528F"/>
    <w:rsid w:val="003F66CF"/>
    <w:rsid w:val="003F73A6"/>
    <w:rsid w:val="004034D3"/>
    <w:rsid w:val="004234F4"/>
    <w:rsid w:val="00424051"/>
    <w:rsid w:val="00425E5B"/>
    <w:rsid w:val="00432D0C"/>
    <w:rsid w:val="00435D6E"/>
    <w:rsid w:val="00441EA8"/>
    <w:rsid w:val="00455981"/>
    <w:rsid w:val="00455F68"/>
    <w:rsid w:val="004657D1"/>
    <w:rsid w:val="0047377D"/>
    <w:rsid w:val="004813D9"/>
    <w:rsid w:val="00481602"/>
    <w:rsid w:val="00487E84"/>
    <w:rsid w:val="00487EE7"/>
    <w:rsid w:val="004B0979"/>
    <w:rsid w:val="004B17B8"/>
    <w:rsid w:val="004B2894"/>
    <w:rsid w:val="004B6221"/>
    <w:rsid w:val="004C1163"/>
    <w:rsid w:val="004C2076"/>
    <w:rsid w:val="004C5549"/>
    <w:rsid w:val="004D13A8"/>
    <w:rsid w:val="004D5D1E"/>
    <w:rsid w:val="004E0D29"/>
    <w:rsid w:val="004E5CD3"/>
    <w:rsid w:val="004F037F"/>
    <w:rsid w:val="004F3CCA"/>
    <w:rsid w:val="004F7A68"/>
    <w:rsid w:val="00512E99"/>
    <w:rsid w:val="00516108"/>
    <w:rsid w:val="00516F4E"/>
    <w:rsid w:val="005279CA"/>
    <w:rsid w:val="0053548B"/>
    <w:rsid w:val="00544172"/>
    <w:rsid w:val="00546976"/>
    <w:rsid w:val="00561CEC"/>
    <w:rsid w:val="0056416A"/>
    <w:rsid w:val="0056606C"/>
    <w:rsid w:val="00566B6F"/>
    <w:rsid w:val="00583E53"/>
    <w:rsid w:val="005949B1"/>
    <w:rsid w:val="00595998"/>
    <w:rsid w:val="005A2350"/>
    <w:rsid w:val="005A3C59"/>
    <w:rsid w:val="005A69D6"/>
    <w:rsid w:val="005B0D0C"/>
    <w:rsid w:val="005C2038"/>
    <w:rsid w:val="005C42E0"/>
    <w:rsid w:val="005D0FFD"/>
    <w:rsid w:val="005D3B50"/>
    <w:rsid w:val="005D74E4"/>
    <w:rsid w:val="005E01A4"/>
    <w:rsid w:val="005E0440"/>
    <w:rsid w:val="00602034"/>
    <w:rsid w:val="00602241"/>
    <w:rsid w:val="00604361"/>
    <w:rsid w:val="00607400"/>
    <w:rsid w:val="00616514"/>
    <w:rsid w:val="0063220E"/>
    <w:rsid w:val="00646C34"/>
    <w:rsid w:val="00651FF9"/>
    <w:rsid w:val="00653455"/>
    <w:rsid w:val="00663F21"/>
    <w:rsid w:val="00670C55"/>
    <w:rsid w:val="00675B44"/>
    <w:rsid w:val="006774CA"/>
    <w:rsid w:val="0068067C"/>
    <w:rsid w:val="00682A23"/>
    <w:rsid w:val="0068696B"/>
    <w:rsid w:val="00692B2A"/>
    <w:rsid w:val="00692C29"/>
    <w:rsid w:val="00693474"/>
    <w:rsid w:val="006967A0"/>
    <w:rsid w:val="006A393F"/>
    <w:rsid w:val="006A4D36"/>
    <w:rsid w:val="006A4E0B"/>
    <w:rsid w:val="006A716E"/>
    <w:rsid w:val="006B3FF0"/>
    <w:rsid w:val="006C06A8"/>
    <w:rsid w:val="006C47F7"/>
    <w:rsid w:val="006C78D6"/>
    <w:rsid w:val="006D1CCC"/>
    <w:rsid w:val="006E2102"/>
    <w:rsid w:val="006E352D"/>
    <w:rsid w:val="006E78F8"/>
    <w:rsid w:val="006F146B"/>
    <w:rsid w:val="006F1EDE"/>
    <w:rsid w:val="006F45E7"/>
    <w:rsid w:val="006F4CBF"/>
    <w:rsid w:val="00703CDF"/>
    <w:rsid w:val="007049AD"/>
    <w:rsid w:val="00704CE5"/>
    <w:rsid w:val="007050BE"/>
    <w:rsid w:val="0071242E"/>
    <w:rsid w:val="00712A16"/>
    <w:rsid w:val="00716009"/>
    <w:rsid w:val="00717E1C"/>
    <w:rsid w:val="00720E56"/>
    <w:rsid w:val="007252EA"/>
    <w:rsid w:val="00732B07"/>
    <w:rsid w:val="007473B9"/>
    <w:rsid w:val="007473CA"/>
    <w:rsid w:val="00760548"/>
    <w:rsid w:val="00772ED8"/>
    <w:rsid w:val="007803EC"/>
    <w:rsid w:val="007861E1"/>
    <w:rsid w:val="00791688"/>
    <w:rsid w:val="00793BDC"/>
    <w:rsid w:val="0079678D"/>
    <w:rsid w:val="007A468F"/>
    <w:rsid w:val="007A4972"/>
    <w:rsid w:val="007B1833"/>
    <w:rsid w:val="007B4672"/>
    <w:rsid w:val="007C3B16"/>
    <w:rsid w:val="007D1B93"/>
    <w:rsid w:val="007D4C27"/>
    <w:rsid w:val="007E0291"/>
    <w:rsid w:val="007F2039"/>
    <w:rsid w:val="007F3C81"/>
    <w:rsid w:val="007F6408"/>
    <w:rsid w:val="0080382D"/>
    <w:rsid w:val="00806365"/>
    <w:rsid w:val="00814327"/>
    <w:rsid w:val="008219DC"/>
    <w:rsid w:val="008307D5"/>
    <w:rsid w:val="008314A7"/>
    <w:rsid w:val="008350CB"/>
    <w:rsid w:val="00846055"/>
    <w:rsid w:val="00852900"/>
    <w:rsid w:val="00857DF5"/>
    <w:rsid w:val="00873E43"/>
    <w:rsid w:val="008811CF"/>
    <w:rsid w:val="00884D8A"/>
    <w:rsid w:val="00885442"/>
    <w:rsid w:val="008874A1"/>
    <w:rsid w:val="00895A7D"/>
    <w:rsid w:val="00896D12"/>
    <w:rsid w:val="008B1226"/>
    <w:rsid w:val="008B3C1F"/>
    <w:rsid w:val="008B4C9F"/>
    <w:rsid w:val="008B4E32"/>
    <w:rsid w:val="008B50BE"/>
    <w:rsid w:val="008C02E2"/>
    <w:rsid w:val="008C4A00"/>
    <w:rsid w:val="008C5087"/>
    <w:rsid w:val="008C5AF5"/>
    <w:rsid w:val="008D00F2"/>
    <w:rsid w:val="008D1C9E"/>
    <w:rsid w:val="008D5154"/>
    <w:rsid w:val="008D64EB"/>
    <w:rsid w:val="008E1BFE"/>
    <w:rsid w:val="008F3F60"/>
    <w:rsid w:val="008F4080"/>
    <w:rsid w:val="00903580"/>
    <w:rsid w:val="009043F3"/>
    <w:rsid w:val="00906F98"/>
    <w:rsid w:val="009152A7"/>
    <w:rsid w:val="0091728C"/>
    <w:rsid w:val="009231BE"/>
    <w:rsid w:val="009259B9"/>
    <w:rsid w:val="00927085"/>
    <w:rsid w:val="00927B44"/>
    <w:rsid w:val="0093204B"/>
    <w:rsid w:val="00932D48"/>
    <w:rsid w:val="0094583F"/>
    <w:rsid w:val="00950CD8"/>
    <w:rsid w:val="0095157A"/>
    <w:rsid w:val="0095175F"/>
    <w:rsid w:val="00953B4E"/>
    <w:rsid w:val="00960CE5"/>
    <w:rsid w:val="00981489"/>
    <w:rsid w:val="00982047"/>
    <w:rsid w:val="009958F8"/>
    <w:rsid w:val="009A276F"/>
    <w:rsid w:val="009A70E7"/>
    <w:rsid w:val="009C0D7E"/>
    <w:rsid w:val="009C5899"/>
    <w:rsid w:val="009E6FF6"/>
    <w:rsid w:val="009F2D73"/>
    <w:rsid w:val="009F7C26"/>
    <w:rsid w:val="00A205D8"/>
    <w:rsid w:val="00A222B6"/>
    <w:rsid w:val="00A22499"/>
    <w:rsid w:val="00A244D8"/>
    <w:rsid w:val="00A31634"/>
    <w:rsid w:val="00A35356"/>
    <w:rsid w:val="00A36CA3"/>
    <w:rsid w:val="00A40D16"/>
    <w:rsid w:val="00A40F10"/>
    <w:rsid w:val="00A473F4"/>
    <w:rsid w:val="00A47C1F"/>
    <w:rsid w:val="00A522ED"/>
    <w:rsid w:val="00A72586"/>
    <w:rsid w:val="00A73AE5"/>
    <w:rsid w:val="00A94070"/>
    <w:rsid w:val="00A96D3D"/>
    <w:rsid w:val="00AA068D"/>
    <w:rsid w:val="00AA4386"/>
    <w:rsid w:val="00AA7159"/>
    <w:rsid w:val="00AA7F30"/>
    <w:rsid w:val="00AC7E40"/>
    <w:rsid w:val="00AD2375"/>
    <w:rsid w:val="00AD54A0"/>
    <w:rsid w:val="00AD5860"/>
    <w:rsid w:val="00AE18E8"/>
    <w:rsid w:val="00AE1FF7"/>
    <w:rsid w:val="00AE28E2"/>
    <w:rsid w:val="00AE2CD6"/>
    <w:rsid w:val="00AE4470"/>
    <w:rsid w:val="00AE6601"/>
    <w:rsid w:val="00AF04FB"/>
    <w:rsid w:val="00AF347D"/>
    <w:rsid w:val="00B03228"/>
    <w:rsid w:val="00B050D7"/>
    <w:rsid w:val="00B06E97"/>
    <w:rsid w:val="00B10F15"/>
    <w:rsid w:val="00B207F5"/>
    <w:rsid w:val="00B343A4"/>
    <w:rsid w:val="00B422F8"/>
    <w:rsid w:val="00B47931"/>
    <w:rsid w:val="00B52138"/>
    <w:rsid w:val="00B54EE6"/>
    <w:rsid w:val="00B61F48"/>
    <w:rsid w:val="00B6688A"/>
    <w:rsid w:val="00B76E56"/>
    <w:rsid w:val="00B864B6"/>
    <w:rsid w:val="00B91298"/>
    <w:rsid w:val="00BA0BA5"/>
    <w:rsid w:val="00BA3181"/>
    <w:rsid w:val="00BB049F"/>
    <w:rsid w:val="00BB2F5E"/>
    <w:rsid w:val="00BB6276"/>
    <w:rsid w:val="00BB7EC1"/>
    <w:rsid w:val="00BC6F46"/>
    <w:rsid w:val="00BD0BAA"/>
    <w:rsid w:val="00BD2653"/>
    <w:rsid w:val="00BD385D"/>
    <w:rsid w:val="00BE7A02"/>
    <w:rsid w:val="00BF2C98"/>
    <w:rsid w:val="00BF4E39"/>
    <w:rsid w:val="00BF643D"/>
    <w:rsid w:val="00C0109D"/>
    <w:rsid w:val="00C03D86"/>
    <w:rsid w:val="00C0446A"/>
    <w:rsid w:val="00C102E4"/>
    <w:rsid w:val="00C142A0"/>
    <w:rsid w:val="00C1705E"/>
    <w:rsid w:val="00C212D6"/>
    <w:rsid w:val="00C3244A"/>
    <w:rsid w:val="00C413EA"/>
    <w:rsid w:val="00C43BB7"/>
    <w:rsid w:val="00C45D9D"/>
    <w:rsid w:val="00C465F9"/>
    <w:rsid w:val="00C52DEB"/>
    <w:rsid w:val="00C53E06"/>
    <w:rsid w:val="00C62637"/>
    <w:rsid w:val="00C65575"/>
    <w:rsid w:val="00C74F64"/>
    <w:rsid w:val="00C82BEA"/>
    <w:rsid w:val="00CA07A6"/>
    <w:rsid w:val="00CA14EC"/>
    <w:rsid w:val="00CB02C5"/>
    <w:rsid w:val="00CB4128"/>
    <w:rsid w:val="00CD64FD"/>
    <w:rsid w:val="00CD7BDE"/>
    <w:rsid w:val="00CE26D6"/>
    <w:rsid w:val="00CE4282"/>
    <w:rsid w:val="00CE5B21"/>
    <w:rsid w:val="00CE6B63"/>
    <w:rsid w:val="00CF22A9"/>
    <w:rsid w:val="00CF62C1"/>
    <w:rsid w:val="00CF6687"/>
    <w:rsid w:val="00D14D8B"/>
    <w:rsid w:val="00D2405F"/>
    <w:rsid w:val="00D30FB3"/>
    <w:rsid w:val="00D33368"/>
    <w:rsid w:val="00D34E9C"/>
    <w:rsid w:val="00D43728"/>
    <w:rsid w:val="00D54C38"/>
    <w:rsid w:val="00D557E2"/>
    <w:rsid w:val="00D62E8F"/>
    <w:rsid w:val="00D645D3"/>
    <w:rsid w:val="00D64B7E"/>
    <w:rsid w:val="00D71181"/>
    <w:rsid w:val="00D87B3F"/>
    <w:rsid w:val="00D934F1"/>
    <w:rsid w:val="00DA3F13"/>
    <w:rsid w:val="00DA5145"/>
    <w:rsid w:val="00DA7DAF"/>
    <w:rsid w:val="00DB4C74"/>
    <w:rsid w:val="00DB5609"/>
    <w:rsid w:val="00DC1EF9"/>
    <w:rsid w:val="00DC77FE"/>
    <w:rsid w:val="00DC7D1C"/>
    <w:rsid w:val="00DD0633"/>
    <w:rsid w:val="00DD374C"/>
    <w:rsid w:val="00DE0151"/>
    <w:rsid w:val="00DE1672"/>
    <w:rsid w:val="00DE5A42"/>
    <w:rsid w:val="00DF1864"/>
    <w:rsid w:val="00DF3D34"/>
    <w:rsid w:val="00E00894"/>
    <w:rsid w:val="00E013FE"/>
    <w:rsid w:val="00E15306"/>
    <w:rsid w:val="00E163D7"/>
    <w:rsid w:val="00E20A58"/>
    <w:rsid w:val="00E2249E"/>
    <w:rsid w:val="00E22692"/>
    <w:rsid w:val="00E2723A"/>
    <w:rsid w:val="00E31D8B"/>
    <w:rsid w:val="00E338F6"/>
    <w:rsid w:val="00E375BC"/>
    <w:rsid w:val="00E47606"/>
    <w:rsid w:val="00E47A58"/>
    <w:rsid w:val="00E53727"/>
    <w:rsid w:val="00E53B3D"/>
    <w:rsid w:val="00E547EF"/>
    <w:rsid w:val="00E56556"/>
    <w:rsid w:val="00E60E8E"/>
    <w:rsid w:val="00E63005"/>
    <w:rsid w:val="00E72FCA"/>
    <w:rsid w:val="00E74448"/>
    <w:rsid w:val="00E77722"/>
    <w:rsid w:val="00E7787C"/>
    <w:rsid w:val="00E8393E"/>
    <w:rsid w:val="00E92442"/>
    <w:rsid w:val="00EA1890"/>
    <w:rsid w:val="00EA254B"/>
    <w:rsid w:val="00EA33A1"/>
    <w:rsid w:val="00EB41F0"/>
    <w:rsid w:val="00EB4DD7"/>
    <w:rsid w:val="00EB7BEF"/>
    <w:rsid w:val="00EC4B8F"/>
    <w:rsid w:val="00EF2005"/>
    <w:rsid w:val="00EF5463"/>
    <w:rsid w:val="00F05C93"/>
    <w:rsid w:val="00F15940"/>
    <w:rsid w:val="00F206A8"/>
    <w:rsid w:val="00F26036"/>
    <w:rsid w:val="00F2778D"/>
    <w:rsid w:val="00F35C90"/>
    <w:rsid w:val="00F414FE"/>
    <w:rsid w:val="00F61DD9"/>
    <w:rsid w:val="00F63CA8"/>
    <w:rsid w:val="00F63E30"/>
    <w:rsid w:val="00F72661"/>
    <w:rsid w:val="00F77242"/>
    <w:rsid w:val="00F81D9D"/>
    <w:rsid w:val="00F849F0"/>
    <w:rsid w:val="00F87386"/>
    <w:rsid w:val="00F877B3"/>
    <w:rsid w:val="00F97041"/>
    <w:rsid w:val="00F972F1"/>
    <w:rsid w:val="00FA16F3"/>
    <w:rsid w:val="00FA423B"/>
    <w:rsid w:val="00FB1B2E"/>
    <w:rsid w:val="00FB2E13"/>
    <w:rsid w:val="00FC2697"/>
    <w:rsid w:val="00FD464F"/>
    <w:rsid w:val="00FE2BE6"/>
    <w:rsid w:val="00FE70DC"/>
    <w:rsid w:val="00FF1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0E946D-0F8B-49CB-9CD9-1957093F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BC6F46"/>
    <w:pPr>
      <w:keepNext/>
      <w:tabs>
        <w:tab w:val="right" w:pos="6840"/>
      </w:tabs>
      <w:outlineLvl w:val="0"/>
    </w:pPr>
    <w:rPr>
      <w:rFonts w:ascii="Arial" w:hAnsi="Arial" w:cs="Arial"/>
      <w:bCs/>
      <w:iCs/>
      <w:sz w:val="30"/>
      <w:szCs w:val="3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C6F46"/>
    <w:pPr>
      <w:tabs>
        <w:tab w:val="center" w:pos="4153"/>
        <w:tab w:val="right" w:pos="8306"/>
      </w:tabs>
    </w:pPr>
    <w:rPr>
      <w:rFonts w:ascii="Arial" w:hAnsi="Arial"/>
      <w:bCs/>
      <w:iCs/>
      <w:lang w:eastAsia="en-US"/>
    </w:rPr>
  </w:style>
  <w:style w:type="paragraph" w:styleId="Footer">
    <w:name w:val="footer"/>
    <w:basedOn w:val="Normal"/>
    <w:link w:val="FooterChar"/>
    <w:uiPriority w:val="99"/>
    <w:rsid w:val="00BC6F46"/>
    <w:pPr>
      <w:tabs>
        <w:tab w:val="center" w:pos="4153"/>
        <w:tab w:val="right" w:pos="8306"/>
      </w:tabs>
    </w:pPr>
    <w:rPr>
      <w:rFonts w:ascii="Arial" w:hAnsi="Arial"/>
      <w:bCs/>
      <w:iCs/>
      <w:lang w:eastAsia="en-US"/>
    </w:rPr>
  </w:style>
  <w:style w:type="character" w:styleId="Emphasis">
    <w:name w:val="Emphasis"/>
    <w:qFormat/>
    <w:rsid w:val="00BC6F46"/>
    <w:rPr>
      <w:i/>
      <w:iCs/>
    </w:rPr>
  </w:style>
  <w:style w:type="table" w:styleId="TableGrid">
    <w:name w:val="Table Grid"/>
    <w:basedOn w:val="TableNormal"/>
    <w:rsid w:val="00873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91688"/>
    <w:rPr>
      <w:rFonts w:ascii="Arial" w:hAnsi="Arial"/>
      <w:bCs/>
      <w:iCs/>
      <w:sz w:val="24"/>
      <w:szCs w:val="24"/>
      <w:lang w:eastAsia="en-US"/>
    </w:rPr>
  </w:style>
  <w:style w:type="paragraph" w:styleId="BalloonText">
    <w:name w:val="Balloon Text"/>
    <w:basedOn w:val="Normal"/>
    <w:link w:val="BalloonTextChar"/>
    <w:rsid w:val="00DF1864"/>
    <w:rPr>
      <w:rFonts w:ascii="Segoe UI" w:hAnsi="Segoe UI" w:cs="Segoe UI"/>
      <w:sz w:val="18"/>
      <w:szCs w:val="18"/>
    </w:rPr>
  </w:style>
  <w:style w:type="character" w:customStyle="1" w:styleId="BalloonTextChar">
    <w:name w:val="Balloon Text Char"/>
    <w:link w:val="BalloonText"/>
    <w:rsid w:val="00DF1864"/>
    <w:rPr>
      <w:rFonts w:ascii="Segoe UI" w:hAnsi="Segoe UI" w:cs="Segoe UI"/>
      <w:sz w:val="18"/>
      <w:szCs w:val="18"/>
    </w:rPr>
  </w:style>
  <w:style w:type="paragraph" w:customStyle="1" w:styleId="a">
    <w:name w:val="آ"/>
    <w:basedOn w:val="Normal"/>
    <w:rsid w:val="00B422F8"/>
    <w:pPr>
      <w:widowControl w:val="0"/>
    </w:pPr>
    <w:rPr>
      <w:szCs w:val="20"/>
      <w:lang w:val="en-US" w:eastAsia="en-US"/>
    </w:rPr>
  </w:style>
  <w:style w:type="paragraph" w:styleId="ListParagraph">
    <w:name w:val="List Paragraph"/>
    <w:basedOn w:val="Normal"/>
    <w:uiPriority w:val="34"/>
    <w:qFormat/>
    <w:rsid w:val="00B422F8"/>
    <w:pPr>
      <w:ind w:left="720"/>
      <w:contextualSpacing/>
    </w:pPr>
    <w:rPr>
      <w:szCs w:val="20"/>
      <w:lang w:val="en-US" w:eastAsia="en-US"/>
    </w:rPr>
  </w:style>
  <w:style w:type="paragraph" w:customStyle="1" w:styleId="Default">
    <w:name w:val="Default"/>
    <w:rsid w:val="0093204B"/>
    <w:pPr>
      <w:autoSpaceDE w:val="0"/>
      <w:autoSpaceDN w:val="0"/>
      <w:adjustRightInd w:val="0"/>
    </w:pPr>
    <w:rPr>
      <w:rFonts w:ascii="Arial" w:hAnsi="Arial" w:cs="Arial"/>
      <w:color w:val="000000"/>
      <w:sz w:val="24"/>
      <w:szCs w:val="24"/>
    </w:rPr>
  </w:style>
  <w:style w:type="character" w:styleId="Hyperlink">
    <w:name w:val="Hyperlink"/>
    <w:rsid w:val="009320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outhcumbriaap.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6524-5D9A-4A05-84E3-2DFE345D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Children's Services</vt:lpstr>
    </vt:vector>
  </TitlesOfParts>
  <Company>Agilisys</Company>
  <LinksUpToDate>false</LinksUpToDate>
  <CharactersWithSpaces>5719</CharactersWithSpaces>
  <SharedDoc>false</SharedDoc>
  <HLinks>
    <vt:vector size="6" baseType="variant">
      <vt:variant>
        <vt:i4>4391003</vt:i4>
      </vt:variant>
      <vt:variant>
        <vt:i4>0</vt:i4>
      </vt:variant>
      <vt:variant>
        <vt:i4>0</vt:i4>
      </vt:variant>
      <vt:variant>
        <vt:i4>5</vt:i4>
      </vt:variant>
      <vt:variant>
        <vt:lpwstr>http://www.southcumbriaap.org.uk/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Services</dc:title>
  <dc:subject/>
  <dc:creator>evansl</dc:creator>
  <cp:keywords/>
  <dc:description/>
  <cp:lastModifiedBy>Chesworth, Katy S</cp:lastModifiedBy>
  <cp:revision>2</cp:revision>
  <cp:lastPrinted>2019-09-25T18:56:00Z</cp:lastPrinted>
  <dcterms:created xsi:type="dcterms:W3CDTF">2020-03-20T13:22:00Z</dcterms:created>
  <dcterms:modified xsi:type="dcterms:W3CDTF">2020-03-20T13:22:00Z</dcterms:modified>
</cp:coreProperties>
</file>